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B0" w:rsidRPr="004E7613" w:rsidRDefault="00165AB0" w:rsidP="004E7613">
      <w:pPr>
        <w:spacing w:after="0" w:line="240" w:lineRule="auto"/>
        <w:jc w:val="center"/>
        <w:rPr>
          <w:rFonts w:ascii="Times New Roman" w:eastAsia="Times New Roman" w:hAnsi="Times New Roman" w:cs="Times New Roman"/>
          <w:b/>
          <w:bCs/>
          <w:color w:val="333333"/>
          <w:sz w:val="28"/>
          <w:szCs w:val="28"/>
        </w:rPr>
      </w:pPr>
      <w:r w:rsidRPr="004E7613">
        <w:rPr>
          <w:rFonts w:ascii="Times New Roman" w:eastAsia="Times New Roman" w:hAnsi="Times New Roman" w:cs="Times New Roman"/>
          <w:b/>
          <w:bCs/>
          <w:color w:val="333333"/>
          <w:sz w:val="28"/>
          <w:szCs w:val="28"/>
        </w:rPr>
        <w:t>Исключительная компетенция прокурора по делам об административных правонарушениях в арбитражном процессе</w:t>
      </w:r>
    </w:p>
    <w:p w:rsidR="00165AB0" w:rsidRPr="004E7613" w:rsidRDefault="00165AB0" w:rsidP="004E7613">
      <w:pPr>
        <w:spacing w:after="0" w:line="240" w:lineRule="auto"/>
        <w:rPr>
          <w:rFonts w:ascii="Times New Roman" w:eastAsia="Times New Roman" w:hAnsi="Times New Roman" w:cs="Times New Roman"/>
          <w:sz w:val="28"/>
          <w:szCs w:val="28"/>
        </w:rPr>
      </w:pPr>
      <w:r w:rsidRPr="004E7613">
        <w:rPr>
          <w:rFonts w:ascii="Times New Roman" w:eastAsia="Times New Roman" w:hAnsi="Times New Roman" w:cs="Times New Roman"/>
          <w:sz w:val="28"/>
          <w:szCs w:val="28"/>
        </w:rPr>
        <w:t> </w:t>
      </w:r>
      <w:r w:rsidRPr="004E7613">
        <w:rPr>
          <w:rFonts w:ascii="Times New Roman" w:eastAsia="Times New Roman" w:hAnsi="Times New Roman" w:cs="Times New Roman"/>
          <w:color w:val="FFFFFF"/>
          <w:sz w:val="28"/>
          <w:szCs w:val="28"/>
        </w:rPr>
        <w:t>Текст</w:t>
      </w:r>
      <w:r w:rsidRPr="004E7613">
        <w:rPr>
          <w:rFonts w:ascii="Times New Roman" w:eastAsia="Times New Roman" w:hAnsi="Times New Roman" w:cs="Times New Roman"/>
          <w:sz w:val="28"/>
          <w:szCs w:val="28"/>
        </w:rPr>
        <w:t> </w:t>
      </w:r>
      <w:r w:rsidRPr="004E7613">
        <w:rPr>
          <w:rFonts w:ascii="Times New Roman" w:eastAsia="Times New Roman" w:hAnsi="Times New Roman" w:cs="Times New Roman"/>
          <w:color w:val="FFFFFF"/>
          <w:sz w:val="28"/>
          <w:szCs w:val="28"/>
        </w:rPr>
        <w:t>Поделиться</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В соответствии с главой 23 КоАП РФ дела об административных правонарушениях рассматривают в том числе арбитражные суды. К компетенции арбитражного суда относится рассмотрение дел об административных правонарушениях, рассмотрение которых регламентируется главой 25 Арбитражного процессуального кодекса Российской Федерации.</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Частью 2 статьи 21 Федерального закона от 17.01.1992 № 2202-1 «О прокуратуре Российской Федерации» установлено, что при осуществлении надзора за исполнением законов органы прокуратуры не подменяют иные государственные органы. Данное положение Федерального закона прежде всего распространяется на случаи возбуждения прокурором дел об административных правонарушениях, поскольку, помимо него, полномочием на возбуждение подобных дел, за исключением перечисленных в ч. 1 ст. 28.4 КоАП РФ, обладают контрольно-надзорные органы.</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К делам об административных правонарушениях, возбуждение которых относится к исключительной компетенции прокуроров и подлежащих рассмотрению арбитражным судом, относятся дела об административных правонарушениях, предусмотренные статьями: 7.24 КоАП РФ «Нарушение порядка распоряжения объектом нежилого фонда, находящимся в федеральной собственности, и использования указанного объекта»; часть 1 статьи 15.10 КоАП РФ «Неисполнение банком поручения государственного внебюджетного фонда»; 1 – 4.1, 6 и 7 статьи 14.13 КоАП РФ «Неправомерные действия при банкротстве».</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При этом прокурор, рассматривая вопрос возбуждения дела об административном правонарушении в сфере экономики, учитывает недопустимость вмешательства прокурора в финансовую и экономическую деятельность хозяйствующего субъекта.</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Кроме того, указанные статьи имеют соответствующую специфику.</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Следует учесть, что статья 7.24 КоАП РФ предусматривает два самостоятельных состава правонарушения – использование находящегося в федеральной собственности объекта нежилого фонда без надлежаще оформленных документов и использование такого объекта с нарушением установленных норм и правил эксплуатации и содержания объектов нежилого фонда.</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При этом объектом административного правонарушения является не только – здания или помещения в здании, являющееся федеральной собственностью, но и земельные участки.</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Наиболее распространенным составом административного правонарушения, относящегося к исключительной компетенции прокурора, относится совершение действий, предусматривающих административную ответственность по части 4 статьи 14.13 КоАП РФ.</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lastRenderedPageBreak/>
        <w:tab/>
      </w:r>
      <w:r w:rsidR="00165AB0" w:rsidRPr="004E7613">
        <w:rPr>
          <w:rFonts w:ascii="Times New Roman" w:eastAsia="Times New Roman" w:hAnsi="Times New Roman" w:cs="Times New Roman"/>
          <w:color w:val="333333"/>
          <w:sz w:val="28"/>
          <w:szCs w:val="28"/>
        </w:rPr>
        <w:t>Особенностью указанных дел является установление ряда факторов, влияющих на наличие состава вменяемого правонарушения, в частности вопрос о получении должником – банкротом запроса конкурсного управляющего о предоставлении документов.</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Так, при вынесении постановления о возбуждении дела об административном правонарушении учитываются положения пунктов 63, 67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из которых следует, что юридически значимое сообщение, адресованное гражданину, должно быть направлено по адресу его регистрации по месту жительства или пребывания. Гражданин несет риск последствий неполучения юридически значимых сообщений, доставленных по таким адресам. Юридически значимое сообщение считается доставленным в случае, если оно поступило лицу, которому оно направлено, но по обстоятельствам, зависящим от него, не было ему вручено или адресат не ознакомился с ним (пункт 1 статьи 165.1 Гражданского кодекса Российской Федерации).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165AB0"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При этом заслуживает внимания судебная практика, свидетельствующая о неприменении вышеуказанных положений законодательства. Так, распространенным является подход судов о том, что неполучение почтовой корреспонденции не свидетельствует о воспрепятствовании деятельности финансового управляющего. Вменение лицу в вину действия, которые не могли быть совершены в связи с отсутствием сведений о них, является неправомерным.</w:t>
      </w:r>
    </w:p>
    <w:p w:rsidR="00165AB0"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ab/>
      </w:r>
      <w:r w:rsidR="00165AB0" w:rsidRPr="004E7613">
        <w:rPr>
          <w:rFonts w:ascii="Times New Roman" w:eastAsia="Times New Roman" w:hAnsi="Times New Roman" w:cs="Times New Roman"/>
          <w:color w:val="333333"/>
          <w:sz w:val="28"/>
          <w:szCs w:val="28"/>
        </w:rPr>
        <w:t>Таким образом, при реализации прокурорами полномочий по возбуждению дел об административных правонарушениях, относящихся к исключительной компетенции прокурора, следует внимательно анализировать особенности конструкции составов дел об административных правонарушениях.</w:t>
      </w:r>
    </w:p>
    <w:p w:rsid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p>
    <w:p w:rsidR="004E7613" w:rsidRPr="004E7613" w:rsidRDefault="004E7613" w:rsidP="004E761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Помощник прокурора                                                               </w:t>
      </w:r>
      <w:bookmarkStart w:id="0" w:name="_GoBack"/>
      <w:bookmarkEnd w:id="0"/>
      <w:r>
        <w:rPr>
          <w:rFonts w:ascii="Times New Roman" w:eastAsia="Times New Roman" w:hAnsi="Times New Roman" w:cs="Times New Roman"/>
          <w:color w:val="333333"/>
          <w:sz w:val="28"/>
          <w:szCs w:val="28"/>
        </w:rPr>
        <w:t xml:space="preserve">А.Ю. </w:t>
      </w:r>
      <w:proofErr w:type="spellStart"/>
      <w:r>
        <w:rPr>
          <w:rFonts w:ascii="Times New Roman" w:eastAsia="Times New Roman" w:hAnsi="Times New Roman" w:cs="Times New Roman"/>
          <w:color w:val="333333"/>
          <w:sz w:val="28"/>
          <w:szCs w:val="28"/>
        </w:rPr>
        <w:t>Овчинникова</w:t>
      </w:r>
      <w:proofErr w:type="spellEnd"/>
    </w:p>
    <w:p w:rsidR="00165AB0" w:rsidRPr="004E7613" w:rsidRDefault="00165AB0" w:rsidP="004E7613">
      <w:pPr>
        <w:shd w:val="clear" w:color="auto" w:fill="FFFFFF"/>
        <w:spacing w:after="0" w:line="240" w:lineRule="auto"/>
        <w:jc w:val="both"/>
        <w:rPr>
          <w:rFonts w:ascii="Times New Roman" w:eastAsia="Times New Roman" w:hAnsi="Times New Roman" w:cs="Times New Roman"/>
          <w:color w:val="333333"/>
          <w:sz w:val="28"/>
          <w:szCs w:val="28"/>
        </w:rPr>
      </w:pPr>
      <w:r w:rsidRPr="004E7613">
        <w:rPr>
          <w:rFonts w:ascii="Times New Roman" w:eastAsia="Times New Roman" w:hAnsi="Times New Roman" w:cs="Times New Roman"/>
          <w:color w:val="333333"/>
          <w:sz w:val="28"/>
          <w:szCs w:val="28"/>
        </w:rPr>
        <w:t> </w:t>
      </w:r>
    </w:p>
    <w:p w:rsidR="008F5E0F" w:rsidRPr="004E7613" w:rsidRDefault="008F5E0F" w:rsidP="004E7613">
      <w:pPr>
        <w:spacing w:after="0"/>
        <w:rPr>
          <w:rFonts w:ascii="Times New Roman" w:hAnsi="Times New Roman" w:cs="Times New Roman"/>
          <w:sz w:val="28"/>
          <w:szCs w:val="28"/>
        </w:rPr>
      </w:pPr>
    </w:p>
    <w:sectPr w:rsidR="008F5E0F" w:rsidRPr="004E7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65AB0"/>
    <w:rsid w:val="00165AB0"/>
    <w:rsid w:val="004E7613"/>
    <w:rsid w:val="008F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8946"/>
  <w15:docId w15:val="{7C42AB45-E78C-48DE-A46A-F9D99C08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65AB0"/>
  </w:style>
  <w:style w:type="character" w:customStyle="1" w:styleId="feeds-pagenavigationtooltip">
    <w:name w:val="feeds-page__navigation_tooltip"/>
    <w:basedOn w:val="a0"/>
    <w:rsid w:val="00165AB0"/>
  </w:style>
  <w:style w:type="paragraph" w:styleId="a3">
    <w:name w:val="Normal (Web)"/>
    <w:basedOn w:val="a"/>
    <w:uiPriority w:val="99"/>
    <w:semiHidden/>
    <w:unhideWhenUsed/>
    <w:rsid w:val="00165A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14499">
      <w:bodyDiv w:val="1"/>
      <w:marLeft w:val="0"/>
      <w:marRight w:val="0"/>
      <w:marTop w:val="0"/>
      <w:marBottom w:val="0"/>
      <w:divBdr>
        <w:top w:val="none" w:sz="0" w:space="0" w:color="auto"/>
        <w:left w:val="none" w:sz="0" w:space="0" w:color="auto"/>
        <w:bottom w:val="none" w:sz="0" w:space="0" w:color="auto"/>
        <w:right w:val="none" w:sz="0" w:space="0" w:color="auto"/>
      </w:divBdr>
      <w:divsChild>
        <w:div w:id="1735348897">
          <w:marLeft w:val="0"/>
          <w:marRight w:val="0"/>
          <w:marTop w:val="0"/>
          <w:marBottom w:val="0"/>
          <w:divBdr>
            <w:top w:val="none" w:sz="0" w:space="0" w:color="auto"/>
            <w:left w:val="none" w:sz="0" w:space="0" w:color="auto"/>
            <w:bottom w:val="none" w:sz="0" w:space="0" w:color="auto"/>
            <w:right w:val="none" w:sz="0" w:space="0" w:color="auto"/>
          </w:divBdr>
          <w:divsChild>
            <w:div w:id="989095769">
              <w:marLeft w:val="0"/>
              <w:marRight w:val="0"/>
              <w:marTop w:val="0"/>
              <w:marBottom w:val="960"/>
              <w:divBdr>
                <w:top w:val="none" w:sz="0" w:space="0" w:color="auto"/>
                <w:left w:val="none" w:sz="0" w:space="0" w:color="auto"/>
                <w:bottom w:val="none" w:sz="0" w:space="0" w:color="auto"/>
                <w:right w:val="none" w:sz="0" w:space="0" w:color="auto"/>
              </w:divBdr>
            </w:div>
          </w:divsChild>
        </w:div>
        <w:div w:id="1513642235">
          <w:marLeft w:val="0"/>
          <w:marRight w:val="0"/>
          <w:marTop w:val="0"/>
          <w:marBottom w:val="0"/>
          <w:divBdr>
            <w:top w:val="none" w:sz="0" w:space="0" w:color="auto"/>
            <w:left w:val="none" w:sz="0" w:space="0" w:color="auto"/>
            <w:bottom w:val="none" w:sz="0" w:space="0" w:color="auto"/>
            <w:right w:val="none" w:sz="0" w:space="0" w:color="auto"/>
          </w:divBdr>
          <w:divsChild>
            <w:div w:id="2085641826">
              <w:marLeft w:val="0"/>
              <w:marRight w:val="720"/>
              <w:marTop w:val="0"/>
              <w:marBottom w:val="0"/>
              <w:divBdr>
                <w:top w:val="none" w:sz="0" w:space="0" w:color="auto"/>
                <w:left w:val="none" w:sz="0" w:space="0" w:color="auto"/>
                <w:bottom w:val="none" w:sz="0" w:space="0" w:color="auto"/>
                <w:right w:val="none" w:sz="0" w:space="0" w:color="auto"/>
              </w:divBdr>
              <w:divsChild>
                <w:div w:id="412163498">
                  <w:marLeft w:val="0"/>
                  <w:marRight w:val="0"/>
                  <w:marTop w:val="0"/>
                  <w:marBottom w:val="120"/>
                  <w:divBdr>
                    <w:top w:val="none" w:sz="0" w:space="0" w:color="auto"/>
                    <w:left w:val="none" w:sz="0" w:space="0" w:color="auto"/>
                    <w:bottom w:val="none" w:sz="0" w:space="0" w:color="auto"/>
                    <w:right w:val="none" w:sz="0" w:space="0" w:color="auto"/>
                  </w:divBdr>
                </w:div>
                <w:div w:id="466364412">
                  <w:marLeft w:val="0"/>
                  <w:marRight w:val="0"/>
                  <w:marTop w:val="0"/>
                  <w:marBottom w:val="120"/>
                  <w:divBdr>
                    <w:top w:val="none" w:sz="0" w:space="0" w:color="auto"/>
                    <w:left w:val="none" w:sz="0" w:space="0" w:color="auto"/>
                    <w:bottom w:val="none" w:sz="0" w:space="0" w:color="auto"/>
                    <w:right w:val="none" w:sz="0" w:space="0" w:color="auto"/>
                  </w:divBdr>
                </w:div>
              </w:divsChild>
            </w:div>
            <w:div w:id="1606771915">
              <w:marLeft w:val="0"/>
              <w:marRight w:val="0"/>
              <w:marTop w:val="0"/>
              <w:marBottom w:val="0"/>
              <w:divBdr>
                <w:top w:val="none" w:sz="0" w:space="0" w:color="auto"/>
                <w:left w:val="none" w:sz="0" w:space="0" w:color="auto"/>
                <w:bottom w:val="none" w:sz="0" w:space="0" w:color="auto"/>
                <w:right w:val="none" w:sz="0" w:space="0" w:color="auto"/>
              </w:divBdr>
              <w:divsChild>
                <w:div w:id="18747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Егорова Евгения Александровна</cp:lastModifiedBy>
  <cp:revision>3</cp:revision>
  <dcterms:created xsi:type="dcterms:W3CDTF">2024-01-16T20:16:00Z</dcterms:created>
  <dcterms:modified xsi:type="dcterms:W3CDTF">2024-01-24T09:45:00Z</dcterms:modified>
</cp:coreProperties>
</file>