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03E" w:rsidRPr="004126F1" w:rsidRDefault="001B403E" w:rsidP="00D96B8A">
      <w:pPr>
        <w:spacing w:line="540" w:lineRule="atLeast"/>
        <w:jc w:val="center"/>
        <w:rPr>
          <w:rFonts w:ascii="Times New Roman" w:eastAsia="Times New Roman" w:hAnsi="Times New Roman" w:cs="Times New Roman"/>
          <w:b/>
          <w:bCs/>
          <w:sz w:val="28"/>
          <w:szCs w:val="28"/>
          <w:lang w:eastAsia="ru-RU"/>
        </w:rPr>
      </w:pPr>
      <w:r w:rsidRPr="004126F1">
        <w:rPr>
          <w:rFonts w:ascii="Times New Roman" w:eastAsia="Times New Roman" w:hAnsi="Times New Roman" w:cs="Times New Roman"/>
          <w:b/>
          <w:bCs/>
          <w:sz w:val="28"/>
          <w:szCs w:val="28"/>
          <w:lang w:eastAsia="ru-RU"/>
        </w:rPr>
        <w:t>Меры по борьбе с финансированием терроризма</w:t>
      </w:r>
    </w:p>
    <w:p w:rsidR="001B403E" w:rsidRPr="004126F1" w:rsidRDefault="001B403E" w:rsidP="00D96B8A">
      <w:pPr>
        <w:spacing w:after="0" w:line="240" w:lineRule="auto"/>
        <w:jc w:val="both"/>
        <w:rPr>
          <w:rFonts w:ascii="Roboto" w:eastAsia="Times New Roman" w:hAnsi="Roboto" w:cs="Times New Roman"/>
          <w:sz w:val="24"/>
          <w:szCs w:val="24"/>
          <w:lang w:eastAsia="ru-RU"/>
        </w:rPr>
      </w:pPr>
      <w:r w:rsidRPr="004126F1">
        <w:rPr>
          <w:rFonts w:ascii="Times New Roman" w:eastAsia="Times New Roman" w:hAnsi="Times New Roman" w:cs="Times New Roman"/>
          <w:sz w:val="24"/>
          <w:szCs w:val="24"/>
          <w:lang w:eastAsia="ru-RU"/>
        </w:rPr>
        <w:t> </w:t>
      </w:r>
      <w:r w:rsidR="00D96B8A" w:rsidRPr="004126F1">
        <w:rPr>
          <w:rFonts w:ascii="Times New Roman" w:eastAsia="Times New Roman" w:hAnsi="Times New Roman" w:cs="Times New Roman"/>
          <w:sz w:val="24"/>
          <w:szCs w:val="24"/>
          <w:lang w:eastAsia="ru-RU"/>
        </w:rPr>
        <w:tab/>
      </w:r>
      <w:r w:rsidRPr="004126F1">
        <w:rPr>
          <w:rFonts w:ascii="Times New Roman" w:eastAsia="Times New Roman" w:hAnsi="Times New Roman" w:cs="Times New Roman"/>
          <w:sz w:val="27"/>
          <w:szCs w:val="27"/>
          <w:lang w:eastAsia="ru-RU"/>
        </w:rPr>
        <w:t>Ключевое место в данном вопросе занимает Федеральный закон от 07.08.2001 № 115-ФЗ «О противодействии легализации (отмыванию) доходов, полученных преступным путем, и финансированию терроризма» (далее - Закон № 115 - ФЗ).</w:t>
      </w:r>
    </w:p>
    <w:p w:rsidR="001B403E" w:rsidRPr="004126F1" w:rsidRDefault="001B403E" w:rsidP="00D96B8A">
      <w:pPr>
        <w:shd w:val="clear" w:color="auto" w:fill="FFFFFF"/>
        <w:spacing w:after="0" w:line="240" w:lineRule="auto"/>
        <w:ind w:firstLine="708"/>
        <w:jc w:val="both"/>
        <w:rPr>
          <w:rFonts w:ascii="Roboto" w:eastAsia="Times New Roman" w:hAnsi="Roboto" w:cs="Times New Roman"/>
          <w:sz w:val="24"/>
          <w:szCs w:val="24"/>
          <w:lang w:eastAsia="ru-RU"/>
        </w:rPr>
      </w:pPr>
      <w:r w:rsidRPr="004126F1">
        <w:rPr>
          <w:rFonts w:ascii="Times New Roman" w:eastAsia="Times New Roman" w:hAnsi="Times New Roman" w:cs="Times New Roman"/>
          <w:sz w:val="27"/>
          <w:szCs w:val="27"/>
          <w:lang w:eastAsia="ru-RU"/>
        </w:rPr>
        <w:t>Финансирования терроризма - предоставление или сбор средств либо оказание финансовых услуг с осознанием того, что они предназначены для финансирования организации, подготовки и совершения хотя бы одного из преступлений, предусмотренных ст. ст. 205, 205.1, 205.2, 205.3, 205.4, 205.5, 206, 208, 211, 220, 221, 277, 278, 279, 360 и 361 УК РФ,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или преступного сообщества, созданных или создаваемых для совершения хотя бы одного из указанных преступлений.</w:t>
      </w:r>
    </w:p>
    <w:p w:rsidR="001B403E" w:rsidRPr="004126F1" w:rsidRDefault="001B403E" w:rsidP="00D96B8A">
      <w:pPr>
        <w:shd w:val="clear" w:color="auto" w:fill="FFFFFF"/>
        <w:spacing w:after="0" w:line="240" w:lineRule="auto"/>
        <w:ind w:firstLine="360"/>
        <w:jc w:val="both"/>
        <w:rPr>
          <w:rFonts w:ascii="Roboto" w:eastAsia="Times New Roman" w:hAnsi="Roboto" w:cs="Times New Roman"/>
          <w:sz w:val="24"/>
          <w:szCs w:val="24"/>
          <w:lang w:eastAsia="ru-RU"/>
        </w:rPr>
      </w:pPr>
      <w:r w:rsidRPr="004126F1">
        <w:rPr>
          <w:rFonts w:ascii="Times New Roman" w:eastAsia="Times New Roman" w:hAnsi="Times New Roman" w:cs="Times New Roman"/>
          <w:sz w:val="27"/>
          <w:szCs w:val="27"/>
          <w:lang w:eastAsia="ru-RU"/>
        </w:rPr>
        <w:t>В соответствии со ст. 4 Закона № 115-ФЗ к мерам, направленным на противодействие финансированию терроризма относятся:</w:t>
      </w:r>
    </w:p>
    <w:p w:rsidR="001B403E" w:rsidRPr="004126F1" w:rsidRDefault="00D96B8A" w:rsidP="00D96B8A">
      <w:pPr>
        <w:shd w:val="clear" w:color="auto" w:fill="FFFFFF"/>
        <w:spacing w:after="0" w:line="240" w:lineRule="auto"/>
        <w:ind w:firstLine="426"/>
        <w:jc w:val="both"/>
        <w:rPr>
          <w:rFonts w:ascii="Roboto" w:eastAsia="Times New Roman" w:hAnsi="Roboto" w:cs="Times New Roman"/>
          <w:sz w:val="24"/>
          <w:szCs w:val="24"/>
          <w:lang w:eastAsia="ru-RU"/>
        </w:rPr>
      </w:pPr>
      <w:r w:rsidRPr="004126F1">
        <w:rPr>
          <w:rFonts w:ascii="Times New Roman" w:eastAsia="Times New Roman" w:hAnsi="Times New Roman" w:cs="Times New Roman"/>
          <w:sz w:val="27"/>
          <w:szCs w:val="27"/>
          <w:lang w:eastAsia="ru-RU"/>
        </w:rPr>
        <w:t xml:space="preserve">- </w:t>
      </w:r>
      <w:r w:rsidR="001B403E" w:rsidRPr="004126F1">
        <w:rPr>
          <w:rFonts w:ascii="Times New Roman" w:eastAsia="Times New Roman" w:hAnsi="Times New Roman" w:cs="Times New Roman"/>
          <w:sz w:val="27"/>
          <w:szCs w:val="27"/>
          <w:lang w:eastAsia="ru-RU"/>
        </w:rPr>
        <w:t xml:space="preserve">организация и осуществление внутреннего контроля (идентификация клиентов, их представителей, выгодоприобретателей, </w:t>
      </w:r>
      <w:proofErr w:type="spellStart"/>
      <w:r w:rsidR="001B403E" w:rsidRPr="004126F1">
        <w:rPr>
          <w:rFonts w:ascii="Times New Roman" w:eastAsia="Times New Roman" w:hAnsi="Times New Roman" w:cs="Times New Roman"/>
          <w:sz w:val="27"/>
          <w:szCs w:val="27"/>
          <w:lang w:eastAsia="ru-RU"/>
        </w:rPr>
        <w:t>бенефициарных</w:t>
      </w:r>
      <w:proofErr w:type="spellEnd"/>
      <w:r w:rsidR="001B403E" w:rsidRPr="004126F1">
        <w:rPr>
          <w:rFonts w:ascii="Times New Roman" w:eastAsia="Times New Roman" w:hAnsi="Times New Roman" w:cs="Times New Roman"/>
          <w:sz w:val="27"/>
          <w:szCs w:val="27"/>
          <w:lang w:eastAsia="ru-RU"/>
        </w:rPr>
        <w:t xml:space="preserve"> владельцев; получение информации о целях установления и предполагаемом характере деловых отношений клиента с организацией, осуществляющей операции с денежными средствами и иным имуществом; определение целей финансово-хозяйственной деятельности, финансового положения и деловой репутации клиентов, а также источников происхождения денежных средств и (или) иного имущества клиентов; оценка степени (уровня) риска совершения клиентами подозрительных операций и отнесение клиентов к группам риска совершения подозрительных операций; документальное фиксирование сведений и их представление в уполномоченный орган; хранение документов и информации);</w:t>
      </w:r>
    </w:p>
    <w:p w:rsidR="001B403E" w:rsidRPr="004126F1" w:rsidRDefault="00D96B8A" w:rsidP="00D96B8A">
      <w:pPr>
        <w:shd w:val="clear" w:color="auto" w:fill="FFFFFF"/>
        <w:spacing w:after="0" w:line="240" w:lineRule="auto"/>
        <w:ind w:firstLine="426"/>
        <w:jc w:val="both"/>
        <w:rPr>
          <w:rFonts w:ascii="Roboto" w:eastAsia="Times New Roman" w:hAnsi="Roboto" w:cs="Times New Roman"/>
          <w:sz w:val="24"/>
          <w:szCs w:val="24"/>
          <w:lang w:eastAsia="ru-RU"/>
        </w:rPr>
      </w:pPr>
      <w:r w:rsidRPr="004126F1">
        <w:rPr>
          <w:rFonts w:ascii="Times New Roman" w:eastAsia="Times New Roman" w:hAnsi="Times New Roman" w:cs="Times New Roman"/>
          <w:sz w:val="27"/>
          <w:szCs w:val="27"/>
          <w:lang w:eastAsia="ru-RU"/>
        </w:rPr>
        <w:t xml:space="preserve">- </w:t>
      </w:r>
      <w:r w:rsidR="001B403E" w:rsidRPr="004126F1">
        <w:rPr>
          <w:rFonts w:ascii="Times New Roman" w:eastAsia="Times New Roman" w:hAnsi="Times New Roman" w:cs="Times New Roman"/>
          <w:sz w:val="27"/>
          <w:szCs w:val="27"/>
          <w:lang w:eastAsia="ru-RU"/>
        </w:rPr>
        <w:t xml:space="preserve">обязательный контроль (принимаемые </w:t>
      </w:r>
      <w:proofErr w:type="spellStart"/>
      <w:r w:rsidR="001B403E" w:rsidRPr="004126F1">
        <w:rPr>
          <w:rFonts w:ascii="Times New Roman" w:eastAsia="Times New Roman" w:hAnsi="Times New Roman" w:cs="Times New Roman"/>
          <w:sz w:val="27"/>
          <w:szCs w:val="27"/>
          <w:lang w:eastAsia="ru-RU"/>
        </w:rPr>
        <w:t>Росфинмониторингом</w:t>
      </w:r>
      <w:proofErr w:type="spellEnd"/>
      <w:r w:rsidR="001B403E" w:rsidRPr="004126F1">
        <w:rPr>
          <w:rFonts w:ascii="Times New Roman" w:eastAsia="Times New Roman" w:hAnsi="Times New Roman" w:cs="Times New Roman"/>
          <w:sz w:val="27"/>
          <w:szCs w:val="27"/>
          <w:lang w:eastAsia="ru-RU"/>
        </w:rPr>
        <w:t xml:space="preserve"> меры по контролю за операциями с денежными средствами или иным имуществом на основании информации, представляемой ему организациями, осуществляющими такие операции, а также по проверке этой информации);</w:t>
      </w:r>
    </w:p>
    <w:p w:rsidR="001B403E" w:rsidRPr="004126F1" w:rsidRDefault="00D96B8A" w:rsidP="00D96B8A">
      <w:pPr>
        <w:shd w:val="clear" w:color="auto" w:fill="FFFFFF"/>
        <w:spacing w:after="0" w:line="240" w:lineRule="auto"/>
        <w:ind w:firstLine="426"/>
        <w:jc w:val="both"/>
        <w:rPr>
          <w:rFonts w:ascii="Roboto" w:eastAsia="Times New Roman" w:hAnsi="Roboto" w:cs="Times New Roman"/>
          <w:sz w:val="24"/>
          <w:szCs w:val="24"/>
          <w:lang w:eastAsia="ru-RU"/>
        </w:rPr>
      </w:pPr>
      <w:r w:rsidRPr="004126F1">
        <w:rPr>
          <w:rFonts w:ascii="Times New Roman" w:eastAsia="Times New Roman" w:hAnsi="Times New Roman" w:cs="Times New Roman"/>
          <w:sz w:val="27"/>
          <w:szCs w:val="27"/>
          <w:lang w:eastAsia="ru-RU"/>
        </w:rPr>
        <w:t xml:space="preserve">- </w:t>
      </w:r>
      <w:r w:rsidR="001B403E" w:rsidRPr="004126F1">
        <w:rPr>
          <w:rFonts w:ascii="Times New Roman" w:eastAsia="Times New Roman" w:hAnsi="Times New Roman" w:cs="Times New Roman"/>
          <w:sz w:val="27"/>
          <w:szCs w:val="27"/>
          <w:lang w:eastAsia="ru-RU"/>
        </w:rPr>
        <w:t>запрет на информирование клиентов и иных лиц о принимаемых мерах противодействия финансированию терроризма;</w:t>
      </w:r>
    </w:p>
    <w:p w:rsidR="001B403E" w:rsidRPr="004126F1" w:rsidRDefault="00D96B8A" w:rsidP="00D96B8A">
      <w:pPr>
        <w:shd w:val="clear" w:color="auto" w:fill="FFFFFF"/>
        <w:spacing w:after="0" w:line="240" w:lineRule="auto"/>
        <w:ind w:firstLine="426"/>
        <w:jc w:val="both"/>
        <w:rPr>
          <w:rFonts w:ascii="Roboto" w:eastAsia="Times New Roman" w:hAnsi="Roboto" w:cs="Times New Roman"/>
          <w:sz w:val="24"/>
          <w:szCs w:val="24"/>
          <w:lang w:eastAsia="ru-RU"/>
        </w:rPr>
      </w:pPr>
      <w:r w:rsidRPr="004126F1">
        <w:rPr>
          <w:rFonts w:ascii="Times New Roman" w:eastAsia="Times New Roman" w:hAnsi="Times New Roman" w:cs="Times New Roman"/>
          <w:sz w:val="27"/>
          <w:szCs w:val="27"/>
          <w:lang w:eastAsia="ru-RU"/>
        </w:rPr>
        <w:t xml:space="preserve">- </w:t>
      </w:r>
      <w:r w:rsidR="001B403E" w:rsidRPr="004126F1">
        <w:rPr>
          <w:rFonts w:ascii="Times New Roman" w:eastAsia="Times New Roman" w:hAnsi="Times New Roman" w:cs="Times New Roman"/>
          <w:sz w:val="27"/>
          <w:szCs w:val="27"/>
          <w:lang w:eastAsia="ru-RU"/>
        </w:rPr>
        <w:t>иные меры, принимаемые в соответствии с федеральными законами (Федеральный закон от 22.04.1996 № 39-ФЗ «О рынке ценных бумаг», Федеральный закон от 12.01.1996 № 7-ФЗ «О некоммерческих организациях», Федеральный закон от 02.12.1990 № 395-1 «О банках и банковской деятельности», Федеральный закон от 29.11.2001 № 156-ФЗ «Об инвестиционных фондах», Федеральный закон от 03.06.2009 № 103-ФЗ «О деятельности по приему платежей физических лиц, осуществляемой платежными агентами»).</w:t>
      </w:r>
    </w:p>
    <w:p w:rsidR="001B403E" w:rsidRPr="004126F1" w:rsidRDefault="001B403E" w:rsidP="00D96B8A">
      <w:pPr>
        <w:shd w:val="clear" w:color="auto" w:fill="FFFFFF"/>
        <w:spacing w:after="0" w:line="240" w:lineRule="auto"/>
        <w:ind w:firstLine="426"/>
        <w:jc w:val="both"/>
        <w:rPr>
          <w:rFonts w:ascii="Roboto" w:eastAsia="Times New Roman" w:hAnsi="Roboto" w:cs="Times New Roman"/>
          <w:sz w:val="24"/>
          <w:szCs w:val="24"/>
          <w:lang w:eastAsia="ru-RU"/>
        </w:rPr>
      </w:pPr>
      <w:r w:rsidRPr="004126F1">
        <w:rPr>
          <w:rFonts w:ascii="Times New Roman" w:eastAsia="Times New Roman" w:hAnsi="Times New Roman" w:cs="Times New Roman"/>
          <w:sz w:val="27"/>
          <w:szCs w:val="27"/>
          <w:lang w:eastAsia="ru-RU"/>
        </w:rPr>
        <w:t xml:space="preserve">Обязанность по организации и осуществлению внутреннего контроля возложена на организации, осуществляющие операции с денежными средствами </w:t>
      </w:r>
    </w:p>
    <w:p w:rsidR="001B403E" w:rsidRPr="004126F1" w:rsidRDefault="001B403E" w:rsidP="00D96B8A">
      <w:pPr>
        <w:shd w:val="clear" w:color="auto" w:fill="FFFFFF"/>
        <w:spacing w:after="0" w:line="240" w:lineRule="auto"/>
        <w:ind w:firstLine="426"/>
        <w:jc w:val="both"/>
        <w:rPr>
          <w:rFonts w:ascii="Roboto" w:eastAsia="Times New Roman" w:hAnsi="Roboto" w:cs="Times New Roman"/>
          <w:sz w:val="24"/>
          <w:szCs w:val="24"/>
          <w:lang w:eastAsia="ru-RU"/>
        </w:rPr>
      </w:pPr>
      <w:r w:rsidRPr="004126F1">
        <w:rPr>
          <w:rFonts w:ascii="Times New Roman" w:eastAsia="Times New Roman" w:hAnsi="Times New Roman" w:cs="Times New Roman"/>
          <w:sz w:val="27"/>
          <w:szCs w:val="27"/>
          <w:lang w:eastAsia="ru-RU"/>
        </w:rPr>
        <w:lastRenderedPageBreak/>
        <w:t xml:space="preserve">Одними из основных органов, призванных противодействовать финансированию терроризма (помимо правоохранительных), являются Банк России и </w:t>
      </w:r>
      <w:proofErr w:type="spellStart"/>
      <w:r w:rsidRPr="004126F1">
        <w:rPr>
          <w:rFonts w:ascii="Times New Roman" w:eastAsia="Times New Roman" w:hAnsi="Times New Roman" w:cs="Times New Roman"/>
          <w:sz w:val="27"/>
          <w:szCs w:val="27"/>
          <w:lang w:eastAsia="ru-RU"/>
        </w:rPr>
        <w:t>Росфинмониторинг</w:t>
      </w:r>
      <w:proofErr w:type="spellEnd"/>
      <w:r w:rsidRPr="004126F1">
        <w:rPr>
          <w:rFonts w:ascii="Times New Roman" w:eastAsia="Times New Roman" w:hAnsi="Times New Roman" w:cs="Times New Roman"/>
          <w:sz w:val="27"/>
          <w:szCs w:val="27"/>
          <w:lang w:eastAsia="ru-RU"/>
        </w:rPr>
        <w:t>.</w:t>
      </w:r>
    </w:p>
    <w:p w:rsidR="001B403E" w:rsidRPr="004126F1" w:rsidRDefault="001B403E" w:rsidP="00D96B8A">
      <w:pPr>
        <w:shd w:val="clear" w:color="auto" w:fill="FFFFFF"/>
        <w:spacing w:after="0" w:line="240" w:lineRule="auto"/>
        <w:ind w:firstLine="426"/>
        <w:jc w:val="both"/>
        <w:rPr>
          <w:rFonts w:ascii="Roboto" w:eastAsia="Times New Roman" w:hAnsi="Roboto" w:cs="Times New Roman"/>
          <w:sz w:val="24"/>
          <w:szCs w:val="24"/>
          <w:lang w:eastAsia="ru-RU"/>
        </w:rPr>
      </w:pPr>
      <w:r w:rsidRPr="004126F1">
        <w:rPr>
          <w:rFonts w:ascii="Times New Roman" w:eastAsia="Times New Roman" w:hAnsi="Times New Roman" w:cs="Times New Roman"/>
          <w:sz w:val="27"/>
          <w:szCs w:val="27"/>
          <w:lang w:eastAsia="ru-RU"/>
        </w:rPr>
        <w:t xml:space="preserve">В Российской Федерации предусмотрен комплекс мер по борьбе с финансированием терроризма, важнейшими среди которых являются предоставленная кредитным организациям возможность приостановления операций и замораживания активов лиц, причастных к финансированию терроризма, а также своевременное информирование о них правоохранительные и надзорные органы (Банк России, </w:t>
      </w:r>
      <w:proofErr w:type="spellStart"/>
      <w:r w:rsidRPr="004126F1">
        <w:rPr>
          <w:rFonts w:ascii="Times New Roman" w:eastAsia="Times New Roman" w:hAnsi="Times New Roman" w:cs="Times New Roman"/>
          <w:sz w:val="27"/>
          <w:szCs w:val="27"/>
          <w:lang w:eastAsia="ru-RU"/>
        </w:rPr>
        <w:t>Росфинмониторинг</w:t>
      </w:r>
      <w:proofErr w:type="spellEnd"/>
      <w:r w:rsidRPr="004126F1">
        <w:rPr>
          <w:rFonts w:ascii="Times New Roman" w:eastAsia="Times New Roman" w:hAnsi="Times New Roman" w:cs="Times New Roman"/>
          <w:sz w:val="27"/>
          <w:szCs w:val="27"/>
          <w:lang w:eastAsia="ru-RU"/>
        </w:rPr>
        <w:t>).</w:t>
      </w:r>
    </w:p>
    <w:p w:rsidR="001B403E" w:rsidRPr="004126F1" w:rsidRDefault="001B403E" w:rsidP="00D96B8A">
      <w:pPr>
        <w:shd w:val="clear" w:color="auto" w:fill="FFFFFF"/>
        <w:spacing w:after="0" w:line="240" w:lineRule="auto"/>
        <w:ind w:firstLine="426"/>
        <w:jc w:val="both"/>
        <w:rPr>
          <w:rFonts w:ascii="Roboto" w:eastAsia="Times New Roman" w:hAnsi="Roboto" w:cs="Times New Roman"/>
          <w:sz w:val="24"/>
          <w:szCs w:val="24"/>
          <w:lang w:eastAsia="ru-RU"/>
        </w:rPr>
      </w:pPr>
      <w:r w:rsidRPr="004126F1">
        <w:rPr>
          <w:rFonts w:ascii="Times New Roman" w:eastAsia="Times New Roman" w:hAnsi="Times New Roman" w:cs="Times New Roman"/>
          <w:sz w:val="27"/>
          <w:szCs w:val="27"/>
          <w:lang w:eastAsia="ru-RU"/>
        </w:rPr>
        <w:t>Если при реализации правил внутреннего контроля банка операция, проводимая по банковскому счету клиента, независимо от ее суммы квалифицируется в качестве сомнительной операции, банк вправе ограничить предоставление клиенту банковских услуг путем блокирования банковского счета до прекращения действия обстоятельств, вызвавших подозрения, а также отказать в выполнении распоряжения клиента о совершении операции.</w:t>
      </w:r>
    </w:p>
    <w:p w:rsidR="001B403E" w:rsidRPr="004126F1" w:rsidRDefault="001B403E" w:rsidP="00D96B8A">
      <w:pPr>
        <w:shd w:val="clear" w:color="auto" w:fill="FFFFFF"/>
        <w:spacing w:after="0" w:line="240" w:lineRule="auto"/>
        <w:ind w:firstLine="426"/>
        <w:jc w:val="both"/>
        <w:rPr>
          <w:rFonts w:ascii="Roboto" w:eastAsia="Times New Roman" w:hAnsi="Roboto" w:cs="Times New Roman"/>
          <w:sz w:val="24"/>
          <w:szCs w:val="24"/>
          <w:lang w:eastAsia="ru-RU"/>
        </w:rPr>
      </w:pPr>
      <w:r w:rsidRPr="004126F1">
        <w:rPr>
          <w:rFonts w:ascii="Times New Roman" w:eastAsia="Times New Roman" w:hAnsi="Times New Roman" w:cs="Times New Roman"/>
          <w:sz w:val="27"/>
          <w:szCs w:val="27"/>
          <w:lang w:eastAsia="ru-RU"/>
        </w:rPr>
        <w:t xml:space="preserve">При наличии достаточных оснований подозревать причастность организации или физического лица к террористической деятельности (если при этом отсутствуют основания для включения таких лиц в перечень организаций и физических лиц, в отношении которых имеются сведения об их причастности к экстремистской деятельности или терроризму), в том числе при наличии поступившего в </w:t>
      </w:r>
      <w:proofErr w:type="spellStart"/>
      <w:r w:rsidRPr="004126F1">
        <w:rPr>
          <w:rFonts w:ascii="Times New Roman" w:eastAsia="Times New Roman" w:hAnsi="Times New Roman" w:cs="Times New Roman"/>
          <w:sz w:val="27"/>
          <w:szCs w:val="27"/>
          <w:lang w:eastAsia="ru-RU"/>
        </w:rPr>
        <w:t>Росфинмониторинг</w:t>
      </w:r>
      <w:proofErr w:type="spellEnd"/>
      <w:r w:rsidRPr="004126F1">
        <w:rPr>
          <w:rFonts w:ascii="Times New Roman" w:eastAsia="Times New Roman" w:hAnsi="Times New Roman" w:cs="Times New Roman"/>
          <w:sz w:val="27"/>
          <w:szCs w:val="27"/>
          <w:lang w:eastAsia="ru-RU"/>
        </w:rPr>
        <w:t xml:space="preserve">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межведомственным координационным органом, осуществляющим функции по противодействию финансированию терроризма, может быть принято решение о замораживании (блокировании) денежных средств или иного имущества указанных организации или физического лица.</w:t>
      </w:r>
    </w:p>
    <w:p w:rsidR="001B403E" w:rsidRPr="004126F1" w:rsidRDefault="001B403E" w:rsidP="00D96B8A">
      <w:pPr>
        <w:shd w:val="clear" w:color="auto" w:fill="FFFFFF"/>
        <w:spacing w:after="0" w:line="240" w:lineRule="auto"/>
        <w:ind w:firstLine="426"/>
        <w:jc w:val="both"/>
        <w:rPr>
          <w:rFonts w:ascii="Roboto" w:eastAsia="Times New Roman" w:hAnsi="Roboto" w:cs="Times New Roman"/>
          <w:sz w:val="24"/>
          <w:szCs w:val="24"/>
          <w:lang w:eastAsia="ru-RU"/>
        </w:rPr>
      </w:pPr>
      <w:r w:rsidRPr="004126F1">
        <w:rPr>
          <w:rFonts w:ascii="Times New Roman" w:eastAsia="Times New Roman" w:hAnsi="Times New Roman" w:cs="Times New Roman"/>
          <w:sz w:val="27"/>
          <w:szCs w:val="27"/>
          <w:lang w:eastAsia="ru-RU"/>
        </w:rPr>
        <w:t>Виды оп</w:t>
      </w:r>
      <w:bookmarkStart w:id="0" w:name="_GoBack"/>
      <w:bookmarkEnd w:id="0"/>
      <w:r w:rsidRPr="004126F1">
        <w:rPr>
          <w:rFonts w:ascii="Times New Roman" w:eastAsia="Times New Roman" w:hAnsi="Times New Roman" w:cs="Times New Roman"/>
          <w:sz w:val="27"/>
          <w:szCs w:val="27"/>
          <w:lang w:eastAsia="ru-RU"/>
        </w:rPr>
        <w:t>ераций, подлежащих обязательному контролю, а также круг обязанностей организаций, осуществляющих операции с денежными средствами или иным имуществом, определены статьями 6 и 7 Закона № 115-ФЗ соответственно.</w:t>
      </w:r>
    </w:p>
    <w:p w:rsidR="001B403E" w:rsidRPr="004126F1" w:rsidRDefault="001B403E" w:rsidP="00D96B8A">
      <w:pPr>
        <w:shd w:val="clear" w:color="auto" w:fill="FFFFFF"/>
        <w:spacing w:after="0" w:line="240" w:lineRule="auto"/>
        <w:ind w:firstLine="426"/>
        <w:jc w:val="both"/>
        <w:rPr>
          <w:rFonts w:ascii="Roboto" w:eastAsia="Times New Roman" w:hAnsi="Roboto" w:cs="Times New Roman"/>
          <w:sz w:val="24"/>
          <w:szCs w:val="24"/>
          <w:lang w:eastAsia="ru-RU"/>
        </w:rPr>
      </w:pPr>
      <w:r w:rsidRPr="004126F1">
        <w:rPr>
          <w:rFonts w:ascii="Times New Roman" w:eastAsia="Times New Roman" w:hAnsi="Times New Roman" w:cs="Times New Roman"/>
          <w:sz w:val="27"/>
          <w:szCs w:val="27"/>
          <w:lang w:eastAsia="ru-RU"/>
        </w:rPr>
        <w:t>Действующим законодательством предусмотрена административная (</w:t>
      </w:r>
      <w:proofErr w:type="spellStart"/>
      <w:r w:rsidRPr="004126F1">
        <w:rPr>
          <w:rFonts w:ascii="Times New Roman" w:eastAsia="Times New Roman" w:hAnsi="Times New Roman" w:cs="Times New Roman"/>
          <w:sz w:val="27"/>
          <w:szCs w:val="27"/>
          <w:lang w:eastAsia="ru-RU"/>
        </w:rPr>
        <w:t>ст.ст</w:t>
      </w:r>
      <w:proofErr w:type="spellEnd"/>
      <w:r w:rsidRPr="004126F1">
        <w:rPr>
          <w:rFonts w:ascii="Times New Roman" w:eastAsia="Times New Roman" w:hAnsi="Times New Roman" w:cs="Times New Roman"/>
          <w:sz w:val="27"/>
          <w:szCs w:val="27"/>
          <w:lang w:eastAsia="ru-RU"/>
        </w:rPr>
        <w:t>. 15.27, 15.27.1 КоАП РФ) и уголовная (</w:t>
      </w:r>
      <w:proofErr w:type="spellStart"/>
      <w:r w:rsidRPr="004126F1">
        <w:rPr>
          <w:rFonts w:ascii="Times New Roman" w:eastAsia="Times New Roman" w:hAnsi="Times New Roman" w:cs="Times New Roman"/>
          <w:sz w:val="27"/>
          <w:szCs w:val="27"/>
          <w:lang w:eastAsia="ru-RU"/>
        </w:rPr>
        <w:t>ч.ч</w:t>
      </w:r>
      <w:proofErr w:type="spellEnd"/>
      <w:r w:rsidRPr="004126F1">
        <w:rPr>
          <w:rFonts w:ascii="Times New Roman" w:eastAsia="Times New Roman" w:hAnsi="Times New Roman" w:cs="Times New Roman"/>
          <w:sz w:val="27"/>
          <w:szCs w:val="27"/>
          <w:lang w:eastAsia="ru-RU"/>
        </w:rPr>
        <w:t>. 1.1, 4 ст. 205.1 УК РФ) ответственность за совершение нарушений, связанных с противодействием финансированию и финансированием терроризма.</w:t>
      </w:r>
    </w:p>
    <w:p w:rsidR="00F76383" w:rsidRPr="004126F1" w:rsidRDefault="00F76383" w:rsidP="00D96B8A">
      <w:pPr>
        <w:jc w:val="both"/>
      </w:pPr>
    </w:p>
    <w:p w:rsidR="004126F1" w:rsidRPr="004126F1" w:rsidRDefault="004126F1" w:rsidP="00D96B8A">
      <w:pPr>
        <w:jc w:val="both"/>
        <w:rPr>
          <w:rFonts w:ascii="Times New Roman" w:hAnsi="Times New Roman" w:cs="Times New Roman"/>
          <w:sz w:val="28"/>
          <w:szCs w:val="28"/>
        </w:rPr>
      </w:pPr>
      <w:r w:rsidRPr="004126F1">
        <w:rPr>
          <w:rFonts w:ascii="Times New Roman" w:hAnsi="Times New Roman" w:cs="Times New Roman"/>
          <w:sz w:val="28"/>
          <w:szCs w:val="28"/>
        </w:rPr>
        <w:t>Старший помощник прокурора                                                        Е.А. Егорова</w:t>
      </w:r>
    </w:p>
    <w:sectPr w:rsidR="004126F1" w:rsidRPr="00412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725"/>
    <w:multiLevelType w:val="multilevel"/>
    <w:tmpl w:val="6746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FAD"/>
    <w:rsid w:val="001B2FAD"/>
    <w:rsid w:val="001B403E"/>
    <w:rsid w:val="004126F1"/>
    <w:rsid w:val="00D96B8A"/>
    <w:rsid w:val="00F76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ABDD4"/>
  <w15:chartTrackingRefBased/>
  <w15:docId w15:val="{B2878109-AC89-46EE-A816-619D0E9D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305348">
      <w:bodyDiv w:val="1"/>
      <w:marLeft w:val="0"/>
      <w:marRight w:val="0"/>
      <w:marTop w:val="0"/>
      <w:marBottom w:val="0"/>
      <w:divBdr>
        <w:top w:val="none" w:sz="0" w:space="0" w:color="auto"/>
        <w:left w:val="none" w:sz="0" w:space="0" w:color="auto"/>
        <w:bottom w:val="none" w:sz="0" w:space="0" w:color="auto"/>
        <w:right w:val="none" w:sz="0" w:space="0" w:color="auto"/>
      </w:divBdr>
      <w:divsChild>
        <w:div w:id="43991341">
          <w:marLeft w:val="0"/>
          <w:marRight w:val="0"/>
          <w:marTop w:val="0"/>
          <w:marBottom w:val="0"/>
          <w:divBdr>
            <w:top w:val="none" w:sz="0" w:space="0" w:color="auto"/>
            <w:left w:val="none" w:sz="0" w:space="0" w:color="auto"/>
            <w:bottom w:val="none" w:sz="0" w:space="0" w:color="auto"/>
            <w:right w:val="none" w:sz="0" w:space="0" w:color="auto"/>
          </w:divBdr>
          <w:divsChild>
            <w:div w:id="1570535192">
              <w:marLeft w:val="0"/>
              <w:marRight w:val="0"/>
              <w:marTop w:val="0"/>
              <w:marBottom w:val="960"/>
              <w:divBdr>
                <w:top w:val="none" w:sz="0" w:space="0" w:color="auto"/>
                <w:left w:val="none" w:sz="0" w:space="0" w:color="auto"/>
                <w:bottom w:val="none" w:sz="0" w:space="0" w:color="auto"/>
                <w:right w:val="none" w:sz="0" w:space="0" w:color="auto"/>
              </w:divBdr>
            </w:div>
          </w:divsChild>
        </w:div>
        <w:div w:id="1164971363">
          <w:marLeft w:val="0"/>
          <w:marRight w:val="0"/>
          <w:marTop w:val="0"/>
          <w:marBottom w:val="0"/>
          <w:divBdr>
            <w:top w:val="none" w:sz="0" w:space="0" w:color="auto"/>
            <w:left w:val="none" w:sz="0" w:space="0" w:color="auto"/>
            <w:bottom w:val="none" w:sz="0" w:space="0" w:color="auto"/>
            <w:right w:val="none" w:sz="0" w:space="0" w:color="auto"/>
          </w:divBdr>
          <w:divsChild>
            <w:div w:id="1980377578">
              <w:marLeft w:val="0"/>
              <w:marRight w:val="720"/>
              <w:marTop w:val="0"/>
              <w:marBottom w:val="0"/>
              <w:divBdr>
                <w:top w:val="none" w:sz="0" w:space="0" w:color="auto"/>
                <w:left w:val="none" w:sz="0" w:space="0" w:color="auto"/>
                <w:bottom w:val="none" w:sz="0" w:space="0" w:color="auto"/>
                <w:right w:val="none" w:sz="0" w:space="0" w:color="auto"/>
              </w:divBdr>
              <w:divsChild>
                <w:div w:id="1831169869">
                  <w:marLeft w:val="0"/>
                  <w:marRight w:val="0"/>
                  <w:marTop w:val="0"/>
                  <w:marBottom w:val="120"/>
                  <w:divBdr>
                    <w:top w:val="none" w:sz="0" w:space="0" w:color="auto"/>
                    <w:left w:val="none" w:sz="0" w:space="0" w:color="auto"/>
                    <w:bottom w:val="none" w:sz="0" w:space="0" w:color="auto"/>
                    <w:right w:val="none" w:sz="0" w:space="0" w:color="auto"/>
                  </w:divBdr>
                </w:div>
                <w:div w:id="65493365">
                  <w:marLeft w:val="0"/>
                  <w:marRight w:val="0"/>
                  <w:marTop w:val="0"/>
                  <w:marBottom w:val="120"/>
                  <w:divBdr>
                    <w:top w:val="none" w:sz="0" w:space="0" w:color="auto"/>
                    <w:left w:val="none" w:sz="0" w:space="0" w:color="auto"/>
                    <w:bottom w:val="none" w:sz="0" w:space="0" w:color="auto"/>
                    <w:right w:val="none" w:sz="0" w:space="0" w:color="auto"/>
                  </w:divBdr>
                </w:div>
              </w:divsChild>
            </w:div>
            <w:div w:id="860628643">
              <w:marLeft w:val="0"/>
              <w:marRight w:val="0"/>
              <w:marTop w:val="0"/>
              <w:marBottom w:val="0"/>
              <w:divBdr>
                <w:top w:val="none" w:sz="0" w:space="0" w:color="auto"/>
                <w:left w:val="none" w:sz="0" w:space="0" w:color="auto"/>
                <w:bottom w:val="none" w:sz="0" w:space="0" w:color="auto"/>
                <w:right w:val="none" w:sz="0" w:space="0" w:color="auto"/>
              </w:divBdr>
              <w:divsChild>
                <w:div w:id="19588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761</Words>
  <Characters>4341</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2023-02-08T21:36:00Z</dcterms:created>
  <dcterms:modified xsi:type="dcterms:W3CDTF">2023-02-09T11:13:00Z</dcterms:modified>
</cp:coreProperties>
</file>