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44" w:rsidRPr="00002644" w:rsidRDefault="00002644" w:rsidP="00002644">
      <w:pPr>
        <w:shd w:val="clear" w:color="auto" w:fill="FFFFFF"/>
        <w:spacing w:line="540" w:lineRule="atLeast"/>
        <w:jc w:val="center"/>
        <w:rPr>
          <w:rFonts w:ascii="Times New Roman" w:eastAsia="Times New Roman" w:hAnsi="Times New Roman" w:cs="Times New Roman"/>
          <w:b/>
          <w:bCs/>
          <w:color w:val="333333"/>
          <w:sz w:val="28"/>
          <w:szCs w:val="28"/>
        </w:rPr>
      </w:pPr>
      <w:r w:rsidRPr="00002644">
        <w:rPr>
          <w:rFonts w:ascii="Times New Roman" w:eastAsia="Times New Roman" w:hAnsi="Times New Roman" w:cs="Times New Roman"/>
          <w:b/>
          <w:bCs/>
          <w:color w:val="333333"/>
          <w:sz w:val="28"/>
          <w:szCs w:val="28"/>
        </w:rPr>
        <w:t>Уголовная ответственность за мошенничество с использованием платежных карт</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Статья 159.3 УК РФ предусматривает уголовную ответственность за обманное использование чужой банковской расчетной, кредитной или иной платежной карты.</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Состав данного преступления будет независимо от того, изготовлена, подделана платежная банковская карта или использована действительная карта вопреки воли ее владельца. Лицо, действуя таким образом, обманывает уполномоченного работника кредитной или иной организации (например торговой).</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Преступление совершается умышленно и с корыстной целью. Лицо осознает, что использует чужую банковскую платежную карту вопреки воле лица, которому она принадлежит, и вводит тем самым в заблуждение уполномоченных работников кредитной или иной организации, что приводит к незаконному распоряжению не принадлежащими ему денежными средствами, и желает этого.</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Привлечению к уголовной ответственности подлежит лицо, достигшее 16 лет.</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Квалифицированными составами данного преступления являются его совершение группой лиц по предварительному сговору, а также с причинением значительного ущерба гражданину (свыше 5 тысяч рублей), в крупном (250 тысяч рублей) и особо крупном (1 миллион рублей) размерах.</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Данный состав преступления необходимо отграничивать от кражи с банковского счета, а равно в отношении электронных денежных средств (п. «г» ч. 3 ст. 158 УК РФ).</w:t>
      </w:r>
    </w:p>
    <w:p w:rsidR="00002644" w:rsidRPr="00002644" w:rsidRDefault="00002644" w:rsidP="00002644">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002644">
        <w:rPr>
          <w:rFonts w:ascii="Times New Roman" w:eastAsia="Times New Roman" w:hAnsi="Times New Roman" w:cs="Times New Roman"/>
          <w:color w:val="333333"/>
          <w:sz w:val="28"/>
          <w:szCs w:val="28"/>
        </w:rPr>
        <w:t>Составом данного преступления будут охватываться действия виновного, совершившего хищение чужих денежных средств путем использования заранее похищенной или поддельной платежной карты, если выдача наличных денежных средств была произведена посредством банкомата без участия уполномоченного работника кредитной организации.</w:t>
      </w:r>
    </w:p>
    <w:p w:rsidR="00002644" w:rsidRDefault="00002644" w:rsidP="00002644">
      <w:pPr>
        <w:shd w:val="clear" w:color="auto" w:fill="FFFFFF"/>
        <w:spacing w:after="0" w:line="240" w:lineRule="auto"/>
        <w:rPr>
          <w:rFonts w:ascii="Roboto" w:eastAsia="Times New Roman" w:hAnsi="Roboto" w:cs="Times New Roman"/>
          <w:color w:val="333333"/>
          <w:sz w:val="24"/>
          <w:szCs w:val="24"/>
        </w:rPr>
      </w:pPr>
      <w:r w:rsidRPr="00002644">
        <w:rPr>
          <w:rFonts w:ascii="Roboto" w:eastAsia="Times New Roman" w:hAnsi="Roboto" w:cs="Times New Roman"/>
          <w:color w:val="333333"/>
          <w:sz w:val="24"/>
          <w:szCs w:val="24"/>
        </w:rPr>
        <w:t> </w:t>
      </w:r>
    </w:p>
    <w:p w:rsidR="00002644" w:rsidRPr="00002644" w:rsidRDefault="00002644" w:rsidP="00002644">
      <w:pPr>
        <w:shd w:val="clear" w:color="auto" w:fill="FFFFFF"/>
        <w:spacing w:after="0" w:line="240" w:lineRule="auto"/>
        <w:rPr>
          <w:rFonts w:ascii="Times New Roman" w:eastAsia="Times New Roman" w:hAnsi="Times New Roman" w:cs="Times New Roman"/>
          <w:color w:val="333333"/>
          <w:sz w:val="28"/>
          <w:szCs w:val="28"/>
        </w:rPr>
      </w:pPr>
      <w:r w:rsidRPr="00002644">
        <w:rPr>
          <w:rFonts w:ascii="Times New Roman" w:eastAsia="Times New Roman" w:hAnsi="Times New Roman" w:cs="Times New Roman"/>
          <w:color w:val="333333"/>
          <w:sz w:val="28"/>
          <w:szCs w:val="28"/>
        </w:rPr>
        <w:t xml:space="preserve">Старший помощник прокурора города </w:t>
      </w:r>
      <w:r>
        <w:rPr>
          <w:rFonts w:ascii="Times New Roman" w:eastAsia="Times New Roman" w:hAnsi="Times New Roman" w:cs="Times New Roman"/>
          <w:color w:val="333333"/>
          <w:sz w:val="28"/>
          <w:szCs w:val="28"/>
        </w:rPr>
        <w:t xml:space="preserve">                                            </w:t>
      </w:r>
      <w:r w:rsidRPr="00002644">
        <w:rPr>
          <w:rFonts w:ascii="Times New Roman" w:eastAsia="Times New Roman" w:hAnsi="Times New Roman" w:cs="Times New Roman"/>
          <w:color w:val="333333"/>
          <w:sz w:val="28"/>
          <w:szCs w:val="28"/>
        </w:rPr>
        <w:t>Е.А. Егорова</w:t>
      </w:r>
    </w:p>
    <w:p w:rsidR="00EE286C" w:rsidRDefault="00EE286C"/>
    <w:sectPr w:rsidR="00EE2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02644"/>
    <w:rsid w:val="00002644"/>
    <w:rsid w:val="00EE2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02644"/>
  </w:style>
  <w:style w:type="character" w:customStyle="1" w:styleId="feeds-pagenavigationtooltip">
    <w:name w:val="feeds-page__navigation_tooltip"/>
    <w:basedOn w:val="a0"/>
    <w:rsid w:val="00002644"/>
  </w:style>
  <w:style w:type="paragraph" w:styleId="a3">
    <w:name w:val="Normal (Web)"/>
    <w:basedOn w:val="a"/>
    <w:uiPriority w:val="99"/>
    <w:semiHidden/>
    <w:unhideWhenUsed/>
    <w:rsid w:val="00002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166433">
      <w:bodyDiv w:val="1"/>
      <w:marLeft w:val="0"/>
      <w:marRight w:val="0"/>
      <w:marTop w:val="0"/>
      <w:marBottom w:val="0"/>
      <w:divBdr>
        <w:top w:val="none" w:sz="0" w:space="0" w:color="auto"/>
        <w:left w:val="none" w:sz="0" w:space="0" w:color="auto"/>
        <w:bottom w:val="none" w:sz="0" w:space="0" w:color="auto"/>
        <w:right w:val="none" w:sz="0" w:space="0" w:color="auto"/>
      </w:divBdr>
      <w:divsChild>
        <w:div w:id="1321694911">
          <w:marLeft w:val="0"/>
          <w:marRight w:val="0"/>
          <w:marTop w:val="0"/>
          <w:marBottom w:val="960"/>
          <w:divBdr>
            <w:top w:val="none" w:sz="0" w:space="0" w:color="auto"/>
            <w:left w:val="none" w:sz="0" w:space="0" w:color="auto"/>
            <w:bottom w:val="none" w:sz="0" w:space="0" w:color="auto"/>
            <w:right w:val="none" w:sz="0" w:space="0" w:color="auto"/>
          </w:divBdr>
        </w:div>
        <w:div w:id="926377722">
          <w:marLeft w:val="0"/>
          <w:marRight w:val="720"/>
          <w:marTop w:val="0"/>
          <w:marBottom w:val="0"/>
          <w:divBdr>
            <w:top w:val="none" w:sz="0" w:space="0" w:color="auto"/>
            <w:left w:val="none" w:sz="0" w:space="0" w:color="auto"/>
            <w:bottom w:val="none" w:sz="0" w:space="0" w:color="auto"/>
            <w:right w:val="none" w:sz="0" w:space="0" w:color="auto"/>
          </w:divBdr>
          <w:divsChild>
            <w:div w:id="581335068">
              <w:marLeft w:val="0"/>
              <w:marRight w:val="0"/>
              <w:marTop w:val="0"/>
              <w:marBottom w:val="120"/>
              <w:divBdr>
                <w:top w:val="none" w:sz="0" w:space="0" w:color="auto"/>
                <w:left w:val="none" w:sz="0" w:space="0" w:color="auto"/>
                <w:bottom w:val="none" w:sz="0" w:space="0" w:color="auto"/>
                <w:right w:val="none" w:sz="0" w:space="0" w:color="auto"/>
              </w:divBdr>
            </w:div>
            <w:div w:id="2050716658">
              <w:marLeft w:val="0"/>
              <w:marRight w:val="0"/>
              <w:marTop w:val="0"/>
              <w:marBottom w:val="120"/>
              <w:divBdr>
                <w:top w:val="none" w:sz="0" w:space="0" w:color="auto"/>
                <w:left w:val="none" w:sz="0" w:space="0" w:color="auto"/>
                <w:bottom w:val="none" w:sz="0" w:space="0" w:color="auto"/>
                <w:right w:val="none" w:sz="0" w:space="0" w:color="auto"/>
              </w:divBdr>
            </w:div>
          </w:divsChild>
        </w:div>
        <w:div w:id="1913200700">
          <w:marLeft w:val="0"/>
          <w:marRight w:val="0"/>
          <w:marTop w:val="0"/>
          <w:marBottom w:val="0"/>
          <w:divBdr>
            <w:top w:val="none" w:sz="0" w:space="0" w:color="auto"/>
            <w:left w:val="none" w:sz="0" w:space="0" w:color="auto"/>
            <w:bottom w:val="none" w:sz="0" w:space="0" w:color="auto"/>
            <w:right w:val="none" w:sz="0" w:space="0" w:color="auto"/>
          </w:divBdr>
          <w:divsChild>
            <w:div w:id="766313909">
              <w:marLeft w:val="0"/>
              <w:marRight w:val="0"/>
              <w:marTop w:val="0"/>
              <w:marBottom w:val="0"/>
              <w:divBdr>
                <w:top w:val="none" w:sz="0" w:space="0" w:color="auto"/>
                <w:left w:val="none" w:sz="0" w:space="0" w:color="auto"/>
                <w:bottom w:val="none" w:sz="0" w:space="0" w:color="auto"/>
                <w:right w:val="none" w:sz="0" w:space="0" w:color="auto"/>
              </w:divBdr>
              <w:divsChild>
                <w:div w:id="10272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Company>Reanimator Extreme Edition</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2022-02-09T07:25:00Z</dcterms:created>
  <dcterms:modified xsi:type="dcterms:W3CDTF">2022-02-09T07:26:00Z</dcterms:modified>
</cp:coreProperties>
</file>