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44E0">
        <w:rPr>
          <w:rFonts w:ascii="Times New Roman" w:hAnsi="Times New Roman" w:cs="Times New Roman"/>
          <w:b/>
          <w:sz w:val="28"/>
          <w:szCs w:val="28"/>
        </w:rPr>
        <w:t>Необходимость проведения специальной оценки условий труда</w:t>
      </w:r>
    </w:p>
    <w:bookmarkEnd w:id="0"/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 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     Статьей 21 Трудового кодекса Российской Федерации к числу основных прав работника отнесено право на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 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     Законодатель обязал работодателя обеспечить проведение специальной оценки условий труда с целью выявления вредных и (или) опасных факторов производственной среды и трудового процесса и оценке уровня их воздействия на работника. 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    Специальная оценка условий труда проводится работодателем и специализированной организацией, привлекаемой работодателем на основании гражданско-правового договора. 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     Условия труда по степени вредности и опасности подразделены на 4 класса - оптимальные, допустимые, вредные и опасные. Вредные, к тому же, подразделены на 4 подкласса. 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     Специальная оценка условий труда на рабочем месте проводится не реже чем один раз в 5 лет. 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     Данный срок исчисляется со дня утверждения отчета о проведении специальной оценки условий труда. 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 xml:space="preserve">     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F144E0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144E0">
        <w:rPr>
          <w:rFonts w:ascii="Times New Roman" w:hAnsi="Times New Roman" w:cs="Times New Roman"/>
          <w:sz w:val="28"/>
          <w:szCs w:val="28"/>
        </w:rPr>
        <w:t xml:space="preserve"> образует состав административного правонарушения, предусмотренного частью 2 ст. 5.27.1 Кодекса Российской Федерации об административных правонарушениях. 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     Санкцией данной статьи предусмотрена ответственность в виде предупреждения или наложения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4E0" w:rsidRPr="00F144E0" w:rsidRDefault="00F144E0" w:rsidP="00F1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4E0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Егорова Е.А.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2"/>
    <w:rsid w:val="00542D8C"/>
    <w:rsid w:val="00B170A2"/>
    <w:rsid w:val="00F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D77F7-1CAF-4024-A0BE-7C354980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2019-12-16T07:15:00Z</dcterms:created>
  <dcterms:modified xsi:type="dcterms:W3CDTF">2019-12-16T07:15:00Z</dcterms:modified>
</cp:coreProperties>
</file>