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B3D">
        <w:rPr>
          <w:rFonts w:ascii="Times New Roman" w:hAnsi="Times New Roman" w:cs="Times New Roman"/>
          <w:b/>
          <w:sz w:val="28"/>
          <w:szCs w:val="28"/>
        </w:rPr>
        <w:t>Ответственность депутатов представительных органов местного самоуправления за коррупционные правонарушения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 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    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 уточнена ответственность депутатов представительных органов местного самоуправления за коррупционные правонарушения. 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     Установлено, что в случае представления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ним могут быть применены следующие меры ответственности: 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- предупреждение; 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- 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 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 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- запрет исполнять полномочия на постоянной основе до прекращения срока его полномочий. </w:t>
      </w: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    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указанных мер ответственности будет определяться муниципальным правовым актом в соответствии с законом субъекта РФ. </w:t>
      </w:r>
    </w:p>
    <w:p w:rsid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B3D">
        <w:rPr>
          <w:rFonts w:ascii="Times New Roman" w:hAnsi="Times New Roman" w:cs="Times New Roman"/>
          <w:sz w:val="28"/>
          <w:szCs w:val="28"/>
        </w:rPr>
        <w:t>     Указанный Федеральный закон вступил в силу с 6 августа 2019 года. </w:t>
      </w:r>
    </w:p>
    <w:p w:rsid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B3D" w:rsidRPr="00CF3B3D" w:rsidRDefault="00CF3B3D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Костенко Д.С.</w:t>
      </w:r>
    </w:p>
    <w:p w:rsidR="00542D8C" w:rsidRPr="00CF3B3D" w:rsidRDefault="00542D8C" w:rsidP="00CF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2D8C" w:rsidRPr="00CF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88"/>
    <w:rsid w:val="00542D8C"/>
    <w:rsid w:val="005B5F88"/>
    <w:rsid w:val="00C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995A"/>
  <w15:chartTrackingRefBased/>
  <w15:docId w15:val="{0C6EC42E-E211-4E32-8E74-6525D661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2019-12-16T07:08:00Z</dcterms:created>
  <dcterms:modified xsi:type="dcterms:W3CDTF">2019-12-16T07:09:00Z</dcterms:modified>
</cp:coreProperties>
</file>